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9A8A" w14:textId="5EC31E59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E485E07" w14:textId="77777777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FF7DD29" w14:textId="5698177C" w:rsidR="00D87F40" w:rsidRPr="00D87F40" w:rsidRDefault="00D87F40" w:rsidP="005802DC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D94559" w14:textId="207EF4F0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692247F3" w14:textId="039592DA" w:rsidR="00D87F40" w:rsidRPr="00D87F40" w:rsidRDefault="00D87F40" w:rsidP="005802DC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4525"/>
        <w:gridCol w:w="383"/>
        <w:gridCol w:w="3050"/>
      </w:tblGrid>
      <w:tr w:rsidR="00D87F40" w:rsidRPr="00D87F40" w14:paraId="512BFDAD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D87F40" w:rsidRDefault="00D87F40" w:rsidP="00D87F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72325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A1FCDEF" w14:textId="79002BFB" w:rsidR="00601CA9" w:rsidRPr="00D87F40" w:rsidRDefault="00601CA9" w:rsidP="00601CA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Życie codzienne w starożytnym Rzymie / </w:t>
            </w:r>
            <w:r w:rsidRPr="00601CA9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>Everyday life in ancient Rome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D87F40" w:rsidRPr="00D87F40" w14:paraId="416C4A68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D87F40" w:rsidRDefault="00D87F40" w:rsidP="00D87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DE87B4" w14:textId="77777777" w:rsidR="00601CA9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</w:p>
          <w:p w14:paraId="3CE1E71E" w14:textId="56928AF6" w:rsidR="00D87F40" w:rsidRPr="00601CA9" w:rsidRDefault="00150BA5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</w:t>
            </w:r>
            <w:r w:rsidR="00601CA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iteraturoznawstwo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75094694" w14:textId="77777777" w:rsidTr="00D87F40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D87F40" w:rsidRDefault="00D87F40" w:rsidP="00D87F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92292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885187E" w14:textId="391220DD" w:rsidR="00601CA9" w:rsidRPr="00D87F40" w:rsidRDefault="00D15724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</w:t>
            </w:r>
            <w:r w:rsidR="00601CA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olski</w:t>
            </w:r>
          </w:p>
        </w:tc>
      </w:tr>
      <w:tr w:rsidR="00D87F40" w:rsidRPr="00D87F40" w14:paraId="535F89DE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D87F40" w:rsidRDefault="00D87F40" w:rsidP="00D87F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78DB4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9F0BBBF" w14:textId="79B408B4" w:rsidR="00601CA9" w:rsidRPr="00D87F40" w:rsidRDefault="00601CA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D87F40" w:rsidRPr="00D87F40" w14:paraId="488178BA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D87F40" w:rsidRDefault="00D87F40" w:rsidP="00D87F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4E35D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691E3FC6" w14:textId="0A5CD32F" w:rsidR="00D15724" w:rsidRPr="00D87F40" w:rsidRDefault="00C0347D" w:rsidP="00D1572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4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[kod przedmiotu zostanie wprowadzony po uruchomieniu przedmiotu]</w:t>
            </w:r>
          </w:p>
        </w:tc>
      </w:tr>
      <w:tr w:rsidR="00D87F40" w:rsidRPr="00D87F40" w14:paraId="5A154C20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D87F40" w:rsidRDefault="00D87F40" w:rsidP="00D87F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EEB30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F6BEAA3" w14:textId="24D0BA1E" w:rsidR="00601CA9" w:rsidRPr="00D87F40" w:rsidRDefault="00601CA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D87F40" w:rsidRPr="00D87F40" w14:paraId="44A1D2FF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D87F40" w:rsidRDefault="00D87F40" w:rsidP="00D87F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0E6C3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1F6D7157" w14:textId="18A993E3" w:rsidR="00601CA9" w:rsidRPr="00D87F40" w:rsidRDefault="00601CA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Studia śródziemnomorskie</w:t>
            </w:r>
          </w:p>
        </w:tc>
      </w:tr>
      <w:tr w:rsidR="00D87F40" w:rsidRPr="00D87F40" w14:paraId="1A9CD9C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D87F40" w:rsidRDefault="00D87F40" w:rsidP="00D87F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B37E4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6FEDE24" w14:textId="4C4871D4" w:rsidR="00601CA9" w:rsidRPr="00D87F40" w:rsidRDefault="00601CA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D87F40" w:rsidRPr="00D87F40" w14:paraId="39C86593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D87F40" w:rsidRDefault="00D87F40" w:rsidP="00D87F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3AE55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345B9DFB" w14:textId="49839DF6" w:rsidR="00601CA9" w:rsidRPr="00D87F40" w:rsidRDefault="00601CA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II</w:t>
            </w:r>
          </w:p>
        </w:tc>
      </w:tr>
      <w:tr w:rsidR="00D87F40" w:rsidRPr="00D87F40" w14:paraId="687E4457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D87F40" w:rsidRDefault="00D87F40" w:rsidP="00D87F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FD137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BD3D424" w14:textId="661A0591" w:rsidR="00601CA9" w:rsidRPr="00D87F40" w:rsidRDefault="00601CA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zimowy</w:t>
            </w:r>
          </w:p>
        </w:tc>
      </w:tr>
      <w:tr w:rsidR="00D87F40" w:rsidRPr="00D87F40" w14:paraId="1525799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D87F40" w:rsidRDefault="00D87F40" w:rsidP="00D87F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47CAC" w14:textId="3FE4D072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 </w:t>
            </w:r>
          </w:p>
          <w:p w14:paraId="6F47160A" w14:textId="6BB7407B" w:rsidR="00601CA9" w:rsidRPr="00D87F40" w:rsidRDefault="00601CA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Konwersatorium, 30 h</w:t>
            </w:r>
          </w:p>
        </w:tc>
      </w:tr>
      <w:tr w:rsidR="00D87F40" w:rsidRPr="00D87F40" w14:paraId="3C19D0C8" w14:textId="77777777" w:rsidTr="00D87F40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77777777" w:rsidR="00D87F40" w:rsidRPr="00D87F40" w:rsidRDefault="00D87F40" w:rsidP="00D87F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C21F0" w14:textId="77777777" w:rsidR="00601CA9" w:rsidRDefault="00D87F40" w:rsidP="00601CA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</w:t>
            </w:r>
          </w:p>
          <w:p w14:paraId="6A28D900" w14:textId="6426CF1F" w:rsidR="00D87F40" w:rsidRPr="00D87F40" w:rsidRDefault="00601CA9" w:rsidP="00601CA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Brak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2FA1A762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D87F40" w:rsidRDefault="00D87F40" w:rsidP="00D87F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56166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88489A8" w14:textId="5D9F2804" w:rsidR="00533133" w:rsidRPr="00D87F40" w:rsidRDefault="00533133" w:rsidP="009B191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Celem zajęć jest przekazanie podstawowych informacji dotyczących życia codziennego w starożytnym Rzymie, zwłaszcza w okresie schyłku republiki i początków cesarstwa – choć będą też uwzględniane zmiany, jakie zachodziły w tym zakresie na przestrzeni wieków. </w:t>
            </w:r>
            <w:r w:rsidR="00AF62A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Przedmiotem zainteresowania będzie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zarówno życie prywatne (rodzina, pozycja kobiety, </w:t>
            </w:r>
            <w:r w:rsidR="00AF62A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mieszkanie, posiłki, edukacja, rozrywki etc.), jak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AF62A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społeczne (</w:t>
            </w:r>
            <w:r w:rsidR="009B19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niewolnicy i wyzwoleńcy, </w:t>
            </w:r>
            <w:r w:rsidR="00AF62A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klientela i patronat, kalendarz świąt i uroczystości, kult religijny i kolegia kapłańskie, </w:t>
            </w:r>
            <w:r w:rsidR="00AF62A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topografia rzymskiego miasta, urzędy etc.). Nacisk zostanie położony na analizę źródeł – zarówno pisanych</w:t>
            </w:r>
            <w:r w:rsidR="005C42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(np. listy Cycerona i Pliniusza Mł., Marcjalis i Juwenalis)</w:t>
            </w:r>
            <w:r w:rsidR="00AF62A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jak i niepisanych (</w:t>
            </w:r>
            <w:r w:rsidR="005C42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przedmioty codziennego użytku, </w:t>
            </w:r>
            <w:r w:rsidR="00AF62A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budowle, ikonografia etc.); informacje zaczerpnięte ze współczesnych opracowań będą z tymi źródłami</w:t>
            </w:r>
            <w:r w:rsidR="009B19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konfrontowane</w:t>
            </w:r>
            <w:r w:rsidR="00AF62A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. </w:t>
            </w:r>
            <w:r w:rsidR="009B19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Poznanie życia codziennego odległej epoki historycznej będzie też służyć refleksji nad współczesnością (co stanowi kontynuację, gdzie nastąpiły radykalne zmiany, czym były spowodowane).  </w:t>
            </w:r>
            <w:r w:rsidR="00AF62A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87F40" w:rsidRPr="00D87F40" w14:paraId="42A695CD" w14:textId="77777777" w:rsidTr="00D87F40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D87F40" w:rsidRDefault="00D87F40" w:rsidP="00D87F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30AD1B02" w14:textId="77777777" w:rsidR="00601CA9" w:rsidRDefault="00601CA9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DE62F05" w14:textId="53DADDCF" w:rsidR="00D87F40" w:rsidRPr="00D87F40" w:rsidRDefault="009B1919" w:rsidP="00C840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Życie codzienne w antycznym Rzymie: ciągłość i zmiany. Chronologia. Kwestia relacji do świata greckiego. Rodzina rzymska (pater familias, pozycja kobiety, dzieci</w:t>
            </w:r>
            <w:r w:rsidR="00C8409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narodziny, dorastanie, małżeństwo,</w:t>
            </w:r>
            <w:r w:rsidR="00C8409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starość i śmierć). Dom rzymski i jego różne rodzaje. Praca i czas wolny. </w:t>
            </w:r>
            <w:r w:rsidR="005C42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Ubiory. </w:t>
            </w:r>
            <w:r w:rsidR="00C8409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Posiłki. Troska o zdrowie. Edukacja i kultura. Widowiska (teatr, amfiteatr, cyrk). Niewolnicy i wyzwoleńcy. Klientela i patronat. Topografia rzymskiego miasta. Miasto i wieś. Rzymski rok obrzędowy. Kult religijny, kolegia kapłańskie. Urzędy publiczne.</w:t>
            </w:r>
            <w:r w:rsidR="005C42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C8409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38D255F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D87F40" w:rsidRPr="00D87F40" w:rsidRDefault="00D87F40" w:rsidP="00D87F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4C3D2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34D92396" w14:textId="03F8C951" w:rsidR="003C08D2" w:rsidRDefault="003C08D2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Student</w:t>
            </w:r>
            <w:r w:rsidR="00D157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/ka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6E82E664" w14:textId="0023F71B" w:rsidR="003C08D2" w:rsidRDefault="003C08D2" w:rsidP="003C08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3C08D2">
              <w:rPr>
                <w:rFonts w:ascii="Verdana" w:hAnsi="Verdana" w:cs="Verdana"/>
                <w:sz w:val="20"/>
                <w:szCs w:val="20"/>
              </w:rPr>
              <w:t>zna i rozumie podstawowe metody analizy i interpretacji r</w:t>
            </w:r>
            <w:r w:rsidRPr="003C08D2">
              <w:rPr>
                <w:rFonts w:ascii="Verdana" w:hAnsi="Verdana" w:cs="Calibri"/>
                <w:sz w:val="20"/>
                <w:szCs w:val="20"/>
              </w:rPr>
              <w:t>óż</w:t>
            </w:r>
            <w:r w:rsidRPr="003C08D2">
              <w:rPr>
                <w:rFonts w:ascii="Verdana" w:hAnsi="Verdana" w:cs="Verdana"/>
                <w:sz w:val="20"/>
                <w:szCs w:val="20"/>
              </w:rPr>
              <w:t>nych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C08D2">
              <w:rPr>
                <w:rFonts w:ascii="Verdana" w:hAnsi="Verdana" w:cs="Verdana"/>
                <w:sz w:val="20"/>
                <w:szCs w:val="20"/>
              </w:rPr>
              <w:t>wytwor</w:t>
            </w:r>
            <w:r w:rsidRPr="003C08D2">
              <w:rPr>
                <w:rFonts w:ascii="Verdana" w:hAnsi="Verdana" w:cs="Calibri"/>
                <w:sz w:val="20"/>
                <w:szCs w:val="20"/>
              </w:rPr>
              <w:t>ó</w:t>
            </w:r>
            <w:r w:rsidRPr="003C08D2">
              <w:rPr>
                <w:rFonts w:ascii="Verdana" w:hAnsi="Verdana" w:cs="Verdana"/>
                <w:sz w:val="20"/>
                <w:szCs w:val="20"/>
              </w:rPr>
              <w:t>w kultury charakterystycznych dla dorobku kultury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rzymskiej</w:t>
            </w:r>
            <w:r w:rsidR="008113EC">
              <w:rPr>
                <w:rFonts w:ascii="Verdana" w:hAnsi="Verdana" w:cs="Verdana"/>
                <w:sz w:val="20"/>
                <w:szCs w:val="20"/>
              </w:rPr>
              <w:t xml:space="preserve"> i różnych zjawisk z zakresu </w:t>
            </w:r>
            <w:r w:rsidR="005C4EB8">
              <w:rPr>
                <w:rFonts w:ascii="Verdana" w:hAnsi="Verdana" w:cs="Verdana"/>
                <w:sz w:val="20"/>
                <w:szCs w:val="20"/>
              </w:rPr>
              <w:t>życia codziennego w starożytnym Rzymie</w:t>
            </w:r>
            <w:r w:rsidR="005C4EB8">
              <w:rPr>
                <w:rFonts w:ascii="Verdana" w:hAnsi="Verdana" w:cs="Verdana"/>
                <w:sz w:val="20"/>
                <w:szCs w:val="20"/>
              </w:rPr>
              <w:t>;</w:t>
            </w:r>
          </w:p>
          <w:p w14:paraId="2ECD73C1" w14:textId="77777777" w:rsidR="003C08D2" w:rsidRDefault="003C08D2" w:rsidP="003C08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1ADE7C78" w14:textId="3D9EC1F6" w:rsidR="003C08D2" w:rsidRPr="003C08D2" w:rsidRDefault="008113EC" w:rsidP="003C08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zna </w:t>
            </w:r>
            <w:r w:rsidR="003C08D2" w:rsidRPr="003C08D2">
              <w:rPr>
                <w:rFonts w:ascii="Verdana" w:hAnsi="Verdana" w:cs="Verdana"/>
                <w:sz w:val="20"/>
                <w:szCs w:val="20"/>
              </w:rPr>
              <w:t>najwa</w:t>
            </w:r>
            <w:r w:rsidR="003C08D2" w:rsidRPr="003C08D2">
              <w:rPr>
                <w:rFonts w:ascii="Verdana" w:hAnsi="Verdana" w:cs="Calibri"/>
                <w:sz w:val="20"/>
                <w:szCs w:val="20"/>
              </w:rPr>
              <w:t>ż</w:t>
            </w:r>
            <w:r w:rsidR="003C08D2" w:rsidRPr="003C08D2">
              <w:rPr>
                <w:rFonts w:ascii="Verdana" w:hAnsi="Verdana" w:cs="Verdana"/>
                <w:sz w:val="20"/>
                <w:szCs w:val="20"/>
              </w:rPr>
              <w:t>niejsz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 w:rsidR="003C08D2" w:rsidRPr="003C08D2">
              <w:rPr>
                <w:rFonts w:ascii="Verdana" w:hAnsi="Verdana" w:cs="Verdana"/>
                <w:sz w:val="20"/>
                <w:szCs w:val="20"/>
              </w:rPr>
              <w:t xml:space="preserve"> zjawisk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 w:rsidR="003C08D2" w:rsidRPr="003C08D2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z zakresu życia codziennego w starożytnym Rzymie;</w:t>
            </w:r>
          </w:p>
          <w:p w14:paraId="6459DAC3" w14:textId="77777777" w:rsidR="003C08D2" w:rsidRDefault="003C08D2" w:rsidP="003C08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7A00845E" w14:textId="46C8C2D2" w:rsidR="009C11C9" w:rsidRPr="009C11C9" w:rsidRDefault="009C11C9" w:rsidP="009C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C11C9">
              <w:rPr>
                <w:rFonts w:ascii="Verdana" w:hAnsi="Verdana" w:cs="Verdana"/>
                <w:sz w:val="20"/>
                <w:szCs w:val="20"/>
              </w:rPr>
              <w:t>pos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ł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ug</w:t>
            </w:r>
            <w:r w:rsidR="008113EC">
              <w:rPr>
                <w:rFonts w:ascii="Verdana" w:hAnsi="Verdana" w:cs="Verdana"/>
                <w:sz w:val="20"/>
                <w:szCs w:val="20"/>
              </w:rPr>
              <w:t>uje</w:t>
            </w:r>
            <w:r w:rsidRPr="009C11C9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si</w:t>
            </w:r>
            <w:r w:rsidRPr="009C11C9">
              <w:rPr>
                <w:rFonts w:ascii="Verdana" w:hAnsi="Verdana" w:cs="Calibri"/>
                <w:sz w:val="20"/>
                <w:szCs w:val="20"/>
              </w:rPr>
              <w:t xml:space="preserve">ę 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podstawowymi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n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arz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ę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dziami badawczymi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8113EC">
              <w:rPr>
                <w:rFonts w:ascii="Verdana" w:hAnsi="Verdana" w:cs="Verdana"/>
                <w:sz w:val="20"/>
                <w:szCs w:val="20"/>
              </w:rPr>
              <w:t xml:space="preserve"> i 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wypracowanymi na gruncie studi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ó</w:t>
            </w:r>
            <w:r w:rsidRPr="009C11C9">
              <w:rPr>
                <w:rFonts w:ascii="Verdana" w:hAnsi="Verdana" w:cs="Verdana"/>
                <w:sz w:val="20"/>
                <w:szCs w:val="20"/>
              </w:rPr>
              <w:t xml:space="preserve">w 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ś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r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ó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dziemnomorskich i</w:t>
            </w:r>
          </w:p>
          <w:p w14:paraId="662A5C81" w14:textId="5C54F395" w:rsidR="003C08D2" w:rsidRDefault="009C11C9" w:rsidP="009C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C11C9">
              <w:rPr>
                <w:rFonts w:ascii="Verdana" w:hAnsi="Verdana" w:cs="Verdana"/>
                <w:sz w:val="20"/>
                <w:szCs w:val="20"/>
              </w:rPr>
              <w:t>poj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ę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ciami dla niej w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ł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a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ś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ciwymi</w:t>
            </w:r>
            <w:r w:rsidR="00D15724">
              <w:rPr>
                <w:rFonts w:ascii="Verdana" w:hAnsi="Verdana" w:cs="Verdana"/>
                <w:sz w:val="20"/>
                <w:szCs w:val="20"/>
              </w:rPr>
              <w:t>;</w:t>
            </w:r>
          </w:p>
          <w:p w14:paraId="08E27744" w14:textId="77777777" w:rsidR="009C11C9" w:rsidRDefault="009C11C9" w:rsidP="009C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730628D8" w14:textId="06E3DA57" w:rsidR="009C11C9" w:rsidRPr="009C11C9" w:rsidRDefault="009C11C9" w:rsidP="009C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C11C9">
              <w:rPr>
                <w:rFonts w:ascii="Verdana" w:hAnsi="Verdana" w:cs="Verdana"/>
                <w:sz w:val="20"/>
                <w:szCs w:val="20"/>
              </w:rPr>
              <w:t>analiz</w:t>
            </w:r>
            <w:r w:rsidR="008113EC">
              <w:rPr>
                <w:rFonts w:ascii="Verdana" w:hAnsi="Verdana" w:cs="Verdana"/>
                <w:sz w:val="20"/>
                <w:szCs w:val="20"/>
              </w:rPr>
              <w:t>uje i interpretuje</w:t>
            </w:r>
            <w:r w:rsidRPr="009C11C9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5C4EB8">
              <w:rPr>
                <w:rFonts w:ascii="Verdana" w:hAnsi="Verdana" w:cs="Calibri"/>
                <w:sz w:val="20"/>
                <w:szCs w:val="20"/>
              </w:rPr>
              <w:t xml:space="preserve">różne zjawiska z zakresu </w:t>
            </w:r>
            <w:r w:rsidR="005C4EB8">
              <w:rPr>
                <w:rFonts w:ascii="Verdana" w:hAnsi="Verdana" w:cs="Verdana"/>
                <w:sz w:val="20"/>
                <w:szCs w:val="20"/>
              </w:rPr>
              <w:t>życia codziennego w starożytnym Rzymie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, d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ążą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c do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okre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ś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lenia ich znacze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ń</w:t>
            </w:r>
            <w:r w:rsidRPr="009C11C9">
              <w:rPr>
                <w:rFonts w:ascii="Verdana" w:hAnsi="Verdana" w:cs="Verdana"/>
                <w:sz w:val="20"/>
                <w:szCs w:val="20"/>
              </w:rPr>
              <w:t xml:space="preserve"> oraz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ich miejsca w procesie historycznym i w przemianach kultury</w:t>
            </w:r>
            <w:r w:rsidR="00D15724">
              <w:rPr>
                <w:rFonts w:ascii="Verdana" w:hAnsi="Verdana" w:cs="Verdana"/>
                <w:sz w:val="20"/>
                <w:szCs w:val="20"/>
              </w:rPr>
              <w:t>;</w:t>
            </w:r>
          </w:p>
          <w:p w14:paraId="022BAFC3" w14:textId="77777777" w:rsidR="003C08D2" w:rsidRDefault="003C08D2" w:rsidP="003C08D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0CAFAA0E" w14:textId="35929F4E" w:rsidR="009C11C9" w:rsidRDefault="009C11C9" w:rsidP="009C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C11C9">
              <w:rPr>
                <w:rFonts w:ascii="Verdana" w:hAnsi="Verdana" w:cs="Verdana"/>
                <w:sz w:val="20"/>
                <w:szCs w:val="20"/>
              </w:rPr>
              <w:t>potrafi zastosowa</w:t>
            </w:r>
            <w:r w:rsidRPr="009C11C9">
              <w:rPr>
                <w:rFonts w:ascii="Verdana" w:hAnsi="Verdana" w:cs="Calibri"/>
                <w:sz w:val="20"/>
                <w:szCs w:val="20"/>
              </w:rPr>
              <w:t xml:space="preserve">ć 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w wypowiedzi ustnej i pisemnej odpowiedni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ą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argumentacj</w:t>
            </w:r>
            <w:r w:rsidRPr="009C11C9">
              <w:rPr>
                <w:rFonts w:ascii="Verdana" w:hAnsi="Verdana" w:cs="Calibri"/>
                <w:sz w:val="20"/>
                <w:szCs w:val="20"/>
              </w:rPr>
              <w:t xml:space="preserve">ę 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merytoryczn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ą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, z wykorzystaniem pogl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ą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d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ó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w innych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os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ó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b znanych z r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óż</w:t>
            </w:r>
            <w:r w:rsidRPr="009C11C9">
              <w:rPr>
                <w:rFonts w:ascii="Verdana" w:hAnsi="Verdana" w:cs="Verdana"/>
                <w:sz w:val="20"/>
                <w:szCs w:val="20"/>
              </w:rPr>
              <w:t xml:space="preserve">nych 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ź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r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ó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de</w:t>
            </w:r>
            <w:r w:rsidRPr="009C11C9">
              <w:rPr>
                <w:rFonts w:ascii="Verdana" w:hAnsi="Verdana" w:cs="Calibri"/>
                <w:sz w:val="20"/>
                <w:szCs w:val="20"/>
              </w:rPr>
              <w:t xml:space="preserve">ł 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oraz formu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ł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owa</w:t>
            </w:r>
            <w:r w:rsidRPr="009C11C9">
              <w:rPr>
                <w:rFonts w:ascii="Verdana" w:hAnsi="Verdana" w:cs="Calibri"/>
                <w:sz w:val="20"/>
                <w:szCs w:val="20"/>
              </w:rPr>
              <w:t xml:space="preserve">ć 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wnioski. U</w:t>
            </w:r>
            <w:r w:rsidRPr="009C11C9">
              <w:rPr>
                <w:rFonts w:ascii="Verdana" w:hAnsi="Verdana" w:cs="Calibri"/>
                <w:sz w:val="20"/>
                <w:szCs w:val="20"/>
              </w:rPr>
              <w:t>ż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ywa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9C11C9">
              <w:rPr>
                <w:rFonts w:ascii="Verdana" w:hAnsi="Verdana" w:cs="Verdana"/>
                <w:sz w:val="20"/>
                <w:szCs w:val="20"/>
              </w:rPr>
              <w:t>specjalistycznej terminologii</w:t>
            </w:r>
            <w:r w:rsidR="00D15724">
              <w:rPr>
                <w:rFonts w:ascii="Verdana" w:hAnsi="Verdana" w:cs="Verdana"/>
                <w:sz w:val="20"/>
                <w:szCs w:val="20"/>
              </w:rPr>
              <w:t>;</w:t>
            </w:r>
          </w:p>
          <w:p w14:paraId="1B443FCE" w14:textId="77777777" w:rsidR="001C0B28" w:rsidRDefault="001C0B28" w:rsidP="009C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179DD813" w14:textId="1C31C4E7" w:rsidR="001C0B28" w:rsidRPr="001C0B28" w:rsidRDefault="001C0B28" w:rsidP="001C0B2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C0B28">
              <w:rPr>
                <w:rFonts w:ascii="Verdana" w:hAnsi="Verdana" w:cs="Verdana"/>
                <w:sz w:val="20"/>
                <w:szCs w:val="20"/>
              </w:rPr>
              <w:t xml:space="preserve">ma </w:t>
            </w:r>
            <w:r w:rsidRPr="001C0B28">
              <w:rPr>
                <w:rFonts w:ascii="Verdana" w:hAnsi="Verdana" w:cs="Calibri"/>
                <w:sz w:val="20"/>
                <w:szCs w:val="20"/>
              </w:rPr>
              <w:t>ś</w:t>
            </w:r>
            <w:r w:rsidRPr="001C0B28">
              <w:rPr>
                <w:rFonts w:ascii="Verdana" w:hAnsi="Verdana" w:cs="Verdana"/>
                <w:sz w:val="20"/>
                <w:szCs w:val="20"/>
              </w:rPr>
              <w:t>wiadomo</w:t>
            </w:r>
            <w:r w:rsidRPr="001C0B28">
              <w:rPr>
                <w:rFonts w:ascii="Verdana" w:hAnsi="Verdana" w:cs="Calibri"/>
                <w:sz w:val="20"/>
                <w:szCs w:val="20"/>
              </w:rPr>
              <w:t xml:space="preserve">ść </w:t>
            </w:r>
            <w:r w:rsidRPr="001C0B28">
              <w:rPr>
                <w:rFonts w:ascii="Verdana" w:hAnsi="Verdana" w:cs="Verdana"/>
                <w:sz w:val="20"/>
                <w:szCs w:val="20"/>
              </w:rPr>
              <w:t>r</w:t>
            </w:r>
            <w:r w:rsidRPr="001C0B28">
              <w:rPr>
                <w:rFonts w:ascii="Verdana" w:hAnsi="Verdana" w:cs="Calibri"/>
                <w:sz w:val="20"/>
                <w:szCs w:val="20"/>
              </w:rPr>
              <w:t>óż</w:t>
            </w:r>
            <w:r w:rsidRPr="001C0B28">
              <w:rPr>
                <w:rFonts w:ascii="Verdana" w:hAnsi="Verdana" w:cs="Verdana"/>
                <w:sz w:val="20"/>
                <w:szCs w:val="20"/>
              </w:rPr>
              <w:t>nic kulturowych i zwi</w:t>
            </w:r>
            <w:r w:rsidRPr="001C0B28">
              <w:rPr>
                <w:rFonts w:ascii="Verdana" w:hAnsi="Verdana" w:cs="Calibri"/>
                <w:sz w:val="20"/>
                <w:szCs w:val="20"/>
              </w:rPr>
              <w:t>ą</w:t>
            </w:r>
            <w:r w:rsidRPr="001C0B28">
              <w:rPr>
                <w:rFonts w:ascii="Verdana" w:hAnsi="Verdana" w:cs="Verdana"/>
                <w:sz w:val="20"/>
                <w:szCs w:val="20"/>
              </w:rPr>
              <w:t>zanych z tym wyzwa</w:t>
            </w:r>
            <w:r w:rsidRPr="001C0B28">
              <w:rPr>
                <w:rFonts w:ascii="Verdana" w:hAnsi="Verdana" w:cs="Calibri"/>
                <w:sz w:val="20"/>
                <w:szCs w:val="20"/>
              </w:rPr>
              <w:t>ń</w:t>
            </w:r>
            <w:r w:rsidRPr="001C0B28">
              <w:rPr>
                <w:rFonts w:ascii="Verdana" w:hAnsi="Verdana" w:cs="Verdana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1C0B28">
              <w:rPr>
                <w:rFonts w:ascii="Verdana" w:hAnsi="Verdana" w:cs="Verdana"/>
                <w:sz w:val="20"/>
                <w:szCs w:val="20"/>
              </w:rPr>
              <w:t>potrafi w praktyce stosowa</w:t>
            </w:r>
            <w:r w:rsidRPr="001C0B28">
              <w:rPr>
                <w:rFonts w:ascii="Verdana" w:hAnsi="Verdana" w:cs="Calibri"/>
                <w:sz w:val="20"/>
                <w:szCs w:val="20"/>
              </w:rPr>
              <w:t xml:space="preserve">ć </w:t>
            </w:r>
            <w:r w:rsidRPr="001C0B28">
              <w:rPr>
                <w:rFonts w:ascii="Verdana" w:hAnsi="Verdana" w:cs="Verdana"/>
                <w:sz w:val="20"/>
                <w:szCs w:val="20"/>
              </w:rPr>
              <w:t>wiedz</w:t>
            </w:r>
            <w:r w:rsidRPr="001C0B28">
              <w:rPr>
                <w:rFonts w:ascii="Verdana" w:hAnsi="Verdana" w:cs="Calibri"/>
                <w:sz w:val="20"/>
                <w:szCs w:val="20"/>
              </w:rPr>
              <w:t xml:space="preserve">ę </w:t>
            </w:r>
            <w:r w:rsidRPr="001C0B28">
              <w:rPr>
                <w:rFonts w:ascii="Verdana" w:hAnsi="Verdana" w:cs="Verdana"/>
                <w:sz w:val="20"/>
                <w:szCs w:val="20"/>
              </w:rPr>
              <w:t>o mechanizmach</w:t>
            </w:r>
          </w:p>
          <w:p w14:paraId="24508426" w14:textId="54F64E26" w:rsidR="001C0B28" w:rsidRPr="001C0B28" w:rsidRDefault="001C0B28" w:rsidP="001C0B2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C0B28">
              <w:rPr>
                <w:rFonts w:ascii="Verdana" w:hAnsi="Verdana" w:cs="Verdana"/>
                <w:sz w:val="20"/>
                <w:szCs w:val="20"/>
              </w:rPr>
              <w:t>komunikacji interkulturowej</w:t>
            </w:r>
            <w:r w:rsidR="00D15724">
              <w:rPr>
                <w:rFonts w:ascii="Verdana" w:hAnsi="Verdana" w:cs="Verdana"/>
                <w:sz w:val="20"/>
                <w:szCs w:val="20"/>
              </w:rPr>
              <w:t>.</w:t>
            </w:r>
          </w:p>
          <w:p w14:paraId="6F9DFC20" w14:textId="3E4415B3" w:rsidR="003C08D2" w:rsidRPr="00D87F40" w:rsidRDefault="003C08D2" w:rsidP="003C0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7FC1EA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Symbole odpowiednich kierunkowych efektów uczenia się,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np.: K_W01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pl-PL"/>
              </w:rPr>
              <w:t>*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K_U05, K_K03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5017D9A" w14:textId="77777777" w:rsidR="003C08D2" w:rsidRDefault="003C08D2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K_W06</w:t>
            </w:r>
          </w:p>
          <w:p w14:paraId="753C4865" w14:textId="77777777" w:rsidR="003C08D2" w:rsidRDefault="003C08D2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E36D14B" w14:textId="77777777" w:rsidR="003C08D2" w:rsidRDefault="003C08D2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K_W09</w:t>
            </w:r>
          </w:p>
          <w:p w14:paraId="7422D365" w14:textId="77777777" w:rsidR="008113EC" w:rsidRDefault="008113EC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FE1FB4B" w14:textId="0E83DF86" w:rsidR="009C11C9" w:rsidRDefault="009C11C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K_U04</w:t>
            </w:r>
          </w:p>
          <w:p w14:paraId="7B725285" w14:textId="7714C0F9" w:rsidR="009C11C9" w:rsidRDefault="009C11C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A5E7BFF" w14:textId="77777777" w:rsidR="009C11C9" w:rsidRDefault="009C11C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K_U06</w:t>
            </w:r>
          </w:p>
          <w:p w14:paraId="0CE0E7C9" w14:textId="77777777" w:rsidR="009C11C9" w:rsidRDefault="009C11C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B28CBE2" w14:textId="77777777" w:rsidR="009C11C9" w:rsidRDefault="009C11C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72269FA" w14:textId="1EED4E04" w:rsidR="009C11C9" w:rsidRPr="001C0B28" w:rsidRDefault="009C11C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C0B2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K_U07</w:t>
            </w:r>
          </w:p>
          <w:p w14:paraId="7B9C1BA3" w14:textId="77777777" w:rsidR="009C11C9" w:rsidRPr="001C0B28" w:rsidRDefault="009C11C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EDD3BBF" w14:textId="77777777" w:rsidR="001C0B28" w:rsidRPr="001C0B28" w:rsidRDefault="001C0B28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849C7DB" w14:textId="77777777" w:rsidR="001C0B28" w:rsidRPr="001C0B28" w:rsidRDefault="001C0B28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D3E4462" w14:textId="26C203CC" w:rsidR="001C0B28" w:rsidRPr="00D87F40" w:rsidRDefault="001C0B28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B2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K_K04</w:t>
            </w:r>
          </w:p>
        </w:tc>
      </w:tr>
      <w:tr w:rsidR="00D87F40" w:rsidRPr="00D87F40" w14:paraId="10C4089E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75C7CBC3" w:rsidR="00D87F40" w:rsidRPr="00D87F40" w:rsidRDefault="00D87F40" w:rsidP="00D87F4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73282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11877A0" w14:textId="52DE4F75" w:rsidR="005C4249" w:rsidRDefault="005C424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 xml:space="preserve">Mary Beard, </w:t>
            </w:r>
            <w:r w:rsidRPr="005C4249"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  <w:t>SPQR. Historia starożytnego Rzymu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przeł. N. Radomski, Poznań 2019.</w:t>
            </w:r>
          </w:p>
          <w:p w14:paraId="359B0BC1" w14:textId="33A6FEAB" w:rsidR="005C4249" w:rsidRDefault="005C424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Mary Beard, </w:t>
            </w:r>
            <w:r w:rsidRPr="005C4249"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  <w:t>Pompeje. Życie rzymskiego miasta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przeł. N. Radomski, Poznań 201O.</w:t>
            </w:r>
          </w:p>
          <w:p w14:paraId="24782B0E" w14:textId="77777777" w:rsidR="005C4249" w:rsidRDefault="005C424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Jérôme Carcopino, </w:t>
            </w:r>
            <w:r w:rsidRPr="005C4249"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  <w:t>Życie codzienne w Rzymie w okresie rozkwitu cesarstwa</w:t>
            </w:r>
            <w:r w:rsidRPr="005C42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przeł. M. Pąkcińska,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Warszawa </w:t>
            </w:r>
            <w:r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1966.</w:t>
            </w:r>
          </w:p>
          <w:p w14:paraId="7C8DF87B" w14:textId="51E0DC48" w:rsidR="005C4249" w:rsidRDefault="005C424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Paul Veyne (red.), </w:t>
            </w:r>
            <w:r w:rsidRPr="00C651D8"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  <w:t>Historia życia prywatnego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. Tom 1: </w:t>
            </w:r>
            <w:r w:rsidRPr="00C651D8"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  <w:t>Od Cesarstwa Rzymskiego do roku tysięcznego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="00C651D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przeł. K. Arustowicz, M. Rostworowska, Wrocław 1998.</w:t>
            </w:r>
          </w:p>
          <w:p w14:paraId="2884A5BD" w14:textId="04F66BB0" w:rsidR="005C4249" w:rsidRDefault="005C424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Lidia Winniczuk, </w:t>
            </w:r>
            <w:r w:rsidRPr="005C4249">
              <w:rPr>
                <w:rFonts w:ascii="Verdana" w:eastAsia="Times New Roman" w:hAnsi="Verdana" w:cs="Times New Roman"/>
                <w:i/>
                <w:sz w:val="20"/>
                <w:szCs w:val="20"/>
                <w:lang w:eastAsia="pl-PL"/>
              </w:rPr>
              <w:t>Ludzie, zwyczaje i obyczaje starożytnej Grecji i Rzymu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Warszawa </w:t>
            </w:r>
            <w:r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1983.</w:t>
            </w:r>
          </w:p>
          <w:p w14:paraId="58E6291C" w14:textId="218272BB" w:rsidR="005C4249" w:rsidRPr="00D87F40" w:rsidRDefault="005C424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7F40" w:rsidRPr="00D87F40" w14:paraId="35BD8314" w14:textId="77777777" w:rsidTr="00D87F40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77777777" w:rsidR="00D87F40" w:rsidRPr="00D87F40" w:rsidRDefault="00D87F40" w:rsidP="00D87F4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16AAF888" w14:textId="05BA231D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03E1CF3" w14:textId="69E60BEB" w:rsidR="001C0B28" w:rsidRDefault="001C0B28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do zajęć i 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aktywny udział w zajęciach: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K_W06, K_U04, K_U06, K_K04</w:t>
            </w:r>
            <w:r w:rsidR="00D157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380D4862" w14:textId="396416E1" w:rsidR="00D87F40" w:rsidRPr="00D87F40" w:rsidRDefault="00C651D8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wystąpienia ustnego</w:t>
            </w:r>
            <w:r w:rsidR="009C11C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 K_W06, K_U04, K_U07</w:t>
            </w:r>
            <w:r w:rsidR="00D157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709E9C4F" w14:textId="6127E1AB" w:rsidR="00D87F40" w:rsidRPr="00D87F40" w:rsidRDefault="009C11C9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sprawdzian końcowy: K_W06, K_W09, K_U04, K_U06</w:t>
            </w:r>
            <w:r w:rsidR="00D157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CBA64E6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1D48C603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77777777" w:rsidR="00D87F40" w:rsidRPr="00D87F40" w:rsidRDefault="00D87F40" w:rsidP="00D87F4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88841" w14:textId="495336A1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przedmiotu: </w:t>
            </w:r>
          </w:p>
          <w:p w14:paraId="33CFE1B5" w14:textId="5362B1F9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F19C41A" w14:textId="328CF62A" w:rsidR="00C651D8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ciągła kontrola obecności i pos</w:t>
            </w:r>
            <w:r w:rsidR="00C651D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tępów w zakresie tematyki zajęć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912AA28" w14:textId="4AB23AF7" w:rsidR="00D87F40" w:rsidRPr="00D87F40" w:rsidRDefault="00C651D8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wystąpienie ustne (indywidualne lub grupowe)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5BAF971" w14:textId="46B1440B" w:rsidR="00C651D8" w:rsidRDefault="00D87F40" w:rsidP="00C651D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C651D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sprawdzian końcowy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38AED3F" w14:textId="77777777" w:rsidR="001C0B28" w:rsidRDefault="001C0B28" w:rsidP="00C651D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3BC64B2" w14:textId="40B32CBA" w:rsidR="001C0B28" w:rsidRDefault="001C0B28" w:rsidP="00C651D8">
            <w:pPr>
              <w:spacing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Ocena ze sprawdzianu końcowego ma decydujący wpływ na ocenę końcową, stanowiąc 60% całościowej punktacji. Pozostałe 40% stanowią – w proporcjach ustalonych dla danej grupy przez prowadzącego – aktywny udział w zajęciach oraz ocena wystąpienia ustnego.</w:t>
            </w:r>
          </w:p>
          <w:p w14:paraId="72626BB3" w14:textId="77777777" w:rsidR="001C0B28" w:rsidRDefault="001C0B28" w:rsidP="001C0B2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Końcowa ocena z przedmiotu:</w:t>
            </w:r>
          </w:p>
          <w:p w14:paraId="44CAB155" w14:textId="77777777" w:rsidR="001C0B28" w:rsidRDefault="001C0B28" w:rsidP="001C0B28">
            <w:pPr>
              <w:widowControl w:val="0"/>
              <w:spacing w:after="0" w:line="240" w:lineRule="auto"/>
              <w:ind w:left="-6" w:right="91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Ocena bdb = uzyskaniu co najmniej 90% punktacji </w:t>
            </w:r>
          </w:p>
          <w:p w14:paraId="2F01D4BC" w14:textId="77777777" w:rsidR="001C0B28" w:rsidRDefault="001C0B28" w:rsidP="001C0B28">
            <w:pPr>
              <w:widowControl w:val="0"/>
              <w:spacing w:after="0" w:line="240" w:lineRule="auto"/>
              <w:ind w:left="-6" w:right="91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Ocena db+ = uzyskaniu 80%–89,9% punktacji</w:t>
            </w:r>
          </w:p>
          <w:p w14:paraId="744AF561" w14:textId="77777777" w:rsidR="001C0B28" w:rsidRDefault="001C0B28" w:rsidP="001C0B28">
            <w:pPr>
              <w:widowControl w:val="0"/>
              <w:spacing w:after="0" w:line="240" w:lineRule="auto"/>
              <w:ind w:left="-6" w:right="91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Ocena db = uzyskaniu 70%–79,9% punktacji</w:t>
            </w:r>
          </w:p>
          <w:p w14:paraId="7AB47635" w14:textId="77777777" w:rsidR="001C0B28" w:rsidRDefault="001C0B28" w:rsidP="001C0B28">
            <w:pPr>
              <w:widowControl w:val="0"/>
              <w:spacing w:after="0" w:line="240" w:lineRule="auto"/>
              <w:ind w:left="-6" w:right="91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Ocena dst+ = uzyskaniu 60%–69,9% punktacji</w:t>
            </w:r>
          </w:p>
          <w:p w14:paraId="7827C5B6" w14:textId="77777777" w:rsidR="001C0B28" w:rsidRDefault="001C0B28" w:rsidP="001C0B28">
            <w:pPr>
              <w:widowControl w:val="0"/>
              <w:spacing w:after="0" w:line="240" w:lineRule="auto"/>
              <w:ind w:left="-6" w:right="91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Ocena dst = uzyskaniu 50%–59,9% punktacji</w:t>
            </w:r>
          </w:p>
          <w:p w14:paraId="28D8DE11" w14:textId="77777777" w:rsidR="001C0B28" w:rsidRDefault="001C0B28" w:rsidP="001C0B28">
            <w:pPr>
              <w:widowControl w:val="0"/>
              <w:spacing w:after="0" w:line="240" w:lineRule="auto"/>
              <w:ind w:left="-6" w:right="91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Uzyskanie poniżej 50% skutkuje niezaliczeniem przedmiotu.</w:t>
            </w:r>
          </w:p>
          <w:p w14:paraId="33D213A7" w14:textId="45D99150" w:rsidR="00D87F40" w:rsidRPr="00D87F40" w:rsidRDefault="00C651D8" w:rsidP="00C65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0AA66D16" w14:textId="77777777" w:rsidTr="00D87F40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6D11489B" w:rsidR="00D87F40" w:rsidRPr="00D87F40" w:rsidRDefault="00D87F40" w:rsidP="00D87F4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87F40" w:rsidRPr="00D87F40" w14:paraId="6C40269B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D87F40" w:rsidRPr="00D87F40" w14:paraId="7263BA5E" w14:textId="77777777" w:rsidTr="00D87F40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6F5B9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80D70FB" w14:textId="65E9647C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C651D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konwersatorium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5BCF548" w14:textId="45C0C416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F4E12" w14:textId="24D2C65B" w:rsidR="00D87F40" w:rsidRDefault="00C651D8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D1AA61F" w14:textId="77777777" w:rsidR="00C651D8" w:rsidRPr="00D87F40" w:rsidRDefault="00C651D8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7F40" w:rsidRPr="00D87F40" w14:paraId="2EADFBD3" w14:textId="77777777" w:rsidTr="00D87F40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F5FA0" w14:textId="12860E39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5284C48C" w14:textId="03B20D20" w:rsidR="00D87F40" w:rsidRPr="00D87F40" w:rsidRDefault="00C651D8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zajęć, w tym czytanie wskazanej literatury</w:t>
            </w:r>
          </w:p>
          <w:p w14:paraId="4A75015B" w14:textId="754B1D32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wystąpień </w:t>
            </w:r>
          </w:p>
          <w:p w14:paraId="78BCFF21" w14:textId="4B48DFDD" w:rsidR="00D87F40" w:rsidRPr="00D87F40" w:rsidRDefault="00D87F40" w:rsidP="00C65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- przygotowanie do sprawdzian</w:t>
            </w:r>
            <w:r w:rsidR="00C651D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 końcowego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0F727" w14:textId="77777777" w:rsidR="00D87F40" w:rsidRDefault="00D87F40" w:rsidP="00C651D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  <w:p w14:paraId="2A5248F6" w14:textId="77777777" w:rsidR="00C651D8" w:rsidRDefault="00C651D8" w:rsidP="00C651D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C0C6CCB" w14:textId="1484D2CC" w:rsidR="00C651D8" w:rsidRDefault="003C08D2" w:rsidP="00C651D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  <w:p w14:paraId="31C5D9F6" w14:textId="77777777" w:rsidR="00C651D8" w:rsidRDefault="00C651D8" w:rsidP="00C651D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604DA1B" w14:textId="7E89F906" w:rsidR="00C651D8" w:rsidRDefault="003C08D2" w:rsidP="00C651D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15</w:t>
            </w:r>
          </w:p>
          <w:p w14:paraId="43302044" w14:textId="208639B3" w:rsidR="00C651D8" w:rsidRDefault="003C08D2" w:rsidP="00C651D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15</w:t>
            </w:r>
          </w:p>
          <w:p w14:paraId="05948B3B" w14:textId="16D67327" w:rsidR="00C651D8" w:rsidRPr="00C651D8" w:rsidRDefault="00C651D8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</w:tr>
      <w:tr w:rsidR="00D87F40" w:rsidRPr="00D87F40" w14:paraId="6DE8FB8C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28529E1B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1AD00B36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1C0B2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90</w:t>
            </w:r>
          </w:p>
        </w:tc>
      </w:tr>
      <w:tr w:rsidR="00D87F40" w:rsidRPr="00D87F40" w14:paraId="4330A9C0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0E7C3E85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5C42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</w:p>
        </w:tc>
      </w:tr>
    </w:tbl>
    <w:p w14:paraId="3CD4FD5A" w14:textId="4C6ADB7C" w:rsidR="40760ACE" w:rsidRDefault="40760ACE" w:rsidP="40760ACE"/>
    <w:p w14:paraId="6E845BC7" w14:textId="24B0FF98" w:rsidR="40760ACE" w:rsidRDefault="40760ACE" w:rsidP="40760ACE"/>
    <w:sectPr w:rsidR="40760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1"/>
  </w:num>
  <w:num w:numId="10">
    <w:abstractNumId w:val="18"/>
  </w:num>
  <w:num w:numId="11">
    <w:abstractNumId w:val="0"/>
  </w:num>
  <w:num w:numId="12">
    <w:abstractNumId w:val="6"/>
  </w:num>
  <w:num w:numId="13">
    <w:abstractNumId w:val="17"/>
  </w:num>
  <w:num w:numId="14">
    <w:abstractNumId w:val="9"/>
  </w:num>
  <w:num w:numId="15">
    <w:abstractNumId w:val="3"/>
  </w:num>
  <w:num w:numId="16">
    <w:abstractNumId w:val="19"/>
  </w:num>
  <w:num w:numId="17">
    <w:abstractNumId w:val="13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773328"/>
    <w:rsid w:val="00150BA5"/>
    <w:rsid w:val="001C0B28"/>
    <w:rsid w:val="003C08D2"/>
    <w:rsid w:val="003E4CC9"/>
    <w:rsid w:val="004379E7"/>
    <w:rsid w:val="004F089A"/>
    <w:rsid w:val="00533133"/>
    <w:rsid w:val="00540ABD"/>
    <w:rsid w:val="005802DC"/>
    <w:rsid w:val="005A30CC"/>
    <w:rsid w:val="005C4249"/>
    <w:rsid w:val="005C4EB8"/>
    <w:rsid w:val="00601CA9"/>
    <w:rsid w:val="008113EC"/>
    <w:rsid w:val="008D014D"/>
    <w:rsid w:val="009B1919"/>
    <w:rsid w:val="009C11C9"/>
    <w:rsid w:val="00A50845"/>
    <w:rsid w:val="00AF62A6"/>
    <w:rsid w:val="00C0347D"/>
    <w:rsid w:val="00C651D8"/>
    <w:rsid w:val="00C8409C"/>
    <w:rsid w:val="00D15724"/>
    <w:rsid w:val="00D87F40"/>
    <w:rsid w:val="00FB66CE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  <w15:chartTrackingRefBased/>
  <w15:docId w15:val="{49410C91-B607-4B8F-AED3-E93635D8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cp:keywords/>
  <dc:description/>
  <cp:lastModifiedBy>Mariusz Plago</cp:lastModifiedBy>
  <cp:revision>9</cp:revision>
  <cp:lastPrinted>2020-05-22T11:51:00Z</cp:lastPrinted>
  <dcterms:created xsi:type="dcterms:W3CDTF">2021-11-05T16:47:00Z</dcterms:created>
  <dcterms:modified xsi:type="dcterms:W3CDTF">2022-03-12T22:32:00Z</dcterms:modified>
</cp:coreProperties>
</file>