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043D" w14:textId="77777777" w:rsidR="00BE0BC6" w:rsidRDefault="00BE0BC6" w:rsidP="00235D32">
      <w:pPr>
        <w:spacing w:line="240" w:lineRule="auto"/>
        <w:ind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</w:t>
      </w:r>
    </w:p>
    <w:p w14:paraId="3B4E4D96" w14:textId="77777777" w:rsidR="00BE0BC6" w:rsidRDefault="00BE0BC6" w:rsidP="00BE0BC6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46033A86" w14:textId="77777777" w:rsidR="00BE0BC6" w:rsidRDefault="00BE0BC6" w:rsidP="00BE0BC6">
      <w:pPr>
        <w:spacing w:line="240" w:lineRule="auto"/>
        <w:ind w:left="6360" w:right="-285" w:firstLine="570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4E90804" w14:textId="77777777" w:rsidR="00BE0BC6" w:rsidRDefault="00BE0BC6" w:rsidP="00BE0BC6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AE5330D" w14:textId="73EB16D9" w:rsidR="00BE0BC6" w:rsidRDefault="00BE0BC6" w:rsidP="00BE0BC6">
      <w:pPr>
        <w:spacing w:beforeAutospacing="1" w:afterAutospacing="1" w:line="240" w:lineRule="auto"/>
        <w:ind w:left="-150" w:hanging="42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E0BC6" w:rsidRPr="00105C08" w14:paraId="5B11A8AB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4835E" w14:textId="77777777" w:rsidR="00BE0BC6" w:rsidRDefault="00BE0BC6" w:rsidP="00BE0BC6">
            <w:pPr>
              <w:widowControl w:val="0"/>
              <w:numPr>
                <w:ilvl w:val="0"/>
                <w:numId w:val="2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07A8C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3BA3F0D" w14:textId="77777777" w:rsidR="00BE0BC6" w:rsidRPr="00105C08" w:rsidRDefault="00CD72C2" w:rsidP="00CD72C2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J. 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grecki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 xml:space="preserve"> 1 / Greek </w:t>
            </w:r>
            <w:r w:rsidR="00BE0BC6"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1</w:t>
            </w:r>
            <w:r w:rsidR="00BE0BC6"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</w:tc>
      </w:tr>
      <w:tr w:rsidR="00BE0BC6" w14:paraId="6F9A2D4F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084E2" w14:textId="77777777" w:rsidR="00BE0BC6" w:rsidRPr="00105C08" w:rsidRDefault="00BE0BC6" w:rsidP="00BE0BC6">
            <w:pPr>
              <w:widowControl w:val="0"/>
              <w:numPr>
                <w:ilvl w:val="0"/>
                <w:numId w:val="2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05C08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6A700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2F156C2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BE0BC6" w14:paraId="3485EC5E" w14:textId="77777777" w:rsidTr="00BE7A1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31EE" w14:textId="77777777" w:rsidR="00BE0BC6" w:rsidRDefault="00BE0BC6" w:rsidP="00BE0BC6">
            <w:pPr>
              <w:widowControl w:val="0"/>
              <w:numPr>
                <w:ilvl w:val="0"/>
                <w:numId w:val="2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D1F40" w14:textId="77777777" w:rsidR="00BE0BC6" w:rsidRDefault="00BE0BC6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5F49F09" w14:textId="77777777" w:rsidR="00BE0BC6" w:rsidRDefault="00BE0BC6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BE0BC6" w14:paraId="7B8A2196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9B2A9" w14:textId="77777777" w:rsidR="00BE0BC6" w:rsidRDefault="00BE0BC6" w:rsidP="00BE0BC6">
            <w:pPr>
              <w:widowControl w:val="0"/>
              <w:numPr>
                <w:ilvl w:val="0"/>
                <w:numId w:val="2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AF13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1642FCB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6DA4DDDB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76316" w14:textId="77777777" w:rsidR="00BE0BC6" w:rsidRDefault="00BE0BC6" w:rsidP="00BE0BC6">
            <w:pPr>
              <w:widowControl w:val="0"/>
              <w:numPr>
                <w:ilvl w:val="0"/>
                <w:numId w:val="2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9EB4F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50E14870" w14:textId="7D7B2240" w:rsidR="00C32095" w:rsidRDefault="00C32095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2095">
              <w:rPr>
                <w:rFonts w:eastAsia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BE0BC6" w14:paraId="5BD30543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00D59" w14:textId="77777777" w:rsidR="00BE0BC6" w:rsidRDefault="00BE0BC6" w:rsidP="00BE0BC6">
            <w:pPr>
              <w:widowControl w:val="0"/>
              <w:numPr>
                <w:ilvl w:val="0"/>
                <w:numId w:val="2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CF3A8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CC7C8D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obowiązkowy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4A6051E7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C597" w14:textId="77777777" w:rsidR="00BE0BC6" w:rsidRDefault="00BE0BC6" w:rsidP="00BE0BC6">
            <w:pPr>
              <w:widowControl w:val="0"/>
              <w:numPr>
                <w:ilvl w:val="0"/>
                <w:numId w:val="2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FB0F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1D95A0C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57950A4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2F90F" w14:textId="77777777" w:rsidR="00BE0BC6" w:rsidRDefault="00BE0BC6" w:rsidP="00BE0BC6">
            <w:pPr>
              <w:widowControl w:val="0"/>
              <w:numPr>
                <w:ilvl w:val="0"/>
                <w:numId w:val="2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9B519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FF57BA4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2653F7C2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865D8" w14:textId="77777777" w:rsidR="00BE0BC6" w:rsidRDefault="00BE0BC6" w:rsidP="00BE0BC6">
            <w:pPr>
              <w:widowControl w:val="0"/>
              <w:numPr>
                <w:ilvl w:val="0"/>
                <w:numId w:val="2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C258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57909E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0BC6" w14:paraId="21309084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498B3" w14:textId="77777777" w:rsidR="00BE0BC6" w:rsidRDefault="00BE0BC6" w:rsidP="00BE0BC6">
            <w:pPr>
              <w:widowControl w:val="0"/>
              <w:numPr>
                <w:ilvl w:val="0"/>
                <w:numId w:val="29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31952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9F0FDD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zimowy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1A12115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DBE9" w14:textId="77777777" w:rsidR="00BE0BC6" w:rsidRDefault="00BE0BC6" w:rsidP="00BE0BC6">
            <w:pPr>
              <w:widowControl w:val="0"/>
              <w:numPr>
                <w:ilvl w:val="0"/>
                <w:numId w:val="3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702F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57D7C2F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59346A83" w14:textId="77777777" w:rsidTr="00BE7A1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0BAAF" w14:textId="77777777" w:rsidR="00BE0BC6" w:rsidRDefault="00BE0BC6" w:rsidP="00BE0BC6">
            <w:pPr>
              <w:widowControl w:val="0"/>
              <w:numPr>
                <w:ilvl w:val="0"/>
                <w:numId w:val="3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69141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79AF67F7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brak wymagań wstępnych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4313660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70020" w14:textId="77777777" w:rsidR="00BE0BC6" w:rsidRDefault="00BE0BC6" w:rsidP="00BE0BC6">
            <w:pPr>
              <w:widowControl w:val="0"/>
              <w:numPr>
                <w:ilvl w:val="0"/>
                <w:numId w:val="3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B1FB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B44A24D" w14:textId="77777777" w:rsidR="00BE0BC6" w:rsidRPr="00105C08" w:rsidRDefault="005C3C50" w:rsidP="0054748A">
            <w:p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05C08">
              <w:rPr>
                <w:rFonts w:ascii="Verdana" w:hAnsi="Verdana"/>
                <w:sz w:val="20"/>
                <w:szCs w:val="20"/>
              </w:rPr>
              <w:t>Zajęcia są przeznaczone dla studentów zaczynających naukę języka</w:t>
            </w:r>
            <w:r>
              <w:rPr>
                <w:rFonts w:ascii="Verdana" w:hAnsi="Verdana"/>
                <w:sz w:val="20"/>
                <w:szCs w:val="20"/>
              </w:rPr>
              <w:t xml:space="preserve"> starogreckiego od podstaw.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Na zajęciach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05C08">
              <w:rPr>
                <w:rFonts w:ascii="Verdana" w:hAnsi="Verdana"/>
                <w:sz w:val="20"/>
                <w:szCs w:val="20"/>
              </w:rPr>
              <w:t>tude</w:t>
            </w:r>
            <w:r>
              <w:rPr>
                <w:rFonts w:ascii="Verdana" w:hAnsi="Verdana"/>
                <w:sz w:val="20"/>
                <w:szCs w:val="20"/>
              </w:rPr>
              <w:t xml:space="preserve">nci tłumaczą i poddają analizie teksty z </w:t>
            </w:r>
            <w:r w:rsidRPr="00105C08">
              <w:rPr>
                <w:rFonts w:ascii="Verdana" w:hAnsi="Verdana"/>
                <w:sz w:val="20"/>
                <w:szCs w:val="20"/>
              </w:rPr>
              <w:t>podręcznika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Athenaze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rozdziały </w:t>
            </w:r>
            <w:r w:rsidRPr="00105C08">
              <w:rPr>
                <w:rFonts w:ascii="Verdana" w:hAnsi="Verdana"/>
                <w:sz w:val="20"/>
                <w:szCs w:val="20"/>
              </w:rPr>
              <w:t>1-3),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które uzupełniane są stopniowo o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roste teksty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105C08">
              <w:rPr>
                <w:rFonts w:ascii="Verdana" w:hAnsi="Verdana"/>
                <w:sz w:val="20"/>
                <w:szCs w:val="20"/>
              </w:rPr>
              <w:t>ryginalne,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robią ćwiczenia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gramatyczne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105C08">
              <w:rPr>
                <w:rFonts w:ascii="Verdana" w:hAnsi="Verdana"/>
                <w:sz w:val="20"/>
                <w:szCs w:val="20"/>
              </w:rPr>
              <w:t>eksykalne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 zeszytu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ćwiczeń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Meletemata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05C08">
              <w:rPr>
                <w:rFonts w:ascii="Verdana" w:hAnsi="Verdana"/>
                <w:sz w:val="20"/>
                <w:szCs w:val="20"/>
              </w:rPr>
              <w:t>uzupełniających podręcznik.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 trakcie zajęć studenci zapoznawani są z podstawowymi narzędziami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 metodami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opisu języka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 poznają podstawy fonologii, gramatyki i leksyki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lastRenderedPageBreak/>
              <w:t>języka starogreck</w:t>
            </w:r>
            <w:r>
              <w:rPr>
                <w:rFonts w:ascii="Verdana" w:hAnsi="Verdana"/>
                <w:sz w:val="20"/>
                <w:szCs w:val="20"/>
              </w:rPr>
              <w:t xml:space="preserve">iego, </w:t>
            </w:r>
            <w:r w:rsidRPr="00105C08">
              <w:rPr>
                <w:rFonts w:ascii="Verdana" w:hAnsi="Verdana"/>
                <w:sz w:val="20"/>
                <w:szCs w:val="20"/>
              </w:rPr>
              <w:t>również 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ich</w:t>
            </w:r>
            <w:r>
              <w:rPr>
                <w:rFonts w:ascii="Verdana" w:hAnsi="Verdana"/>
                <w:sz w:val="20"/>
                <w:szCs w:val="20"/>
              </w:rPr>
              <w:t xml:space="preserve"> historycznym </w:t>
            </w:r>
            <w:r w:rsidRPr="00105C08">
              <w:rPr>
                <w:rFonts w:ascii="Verdana" w:hAnsi="Verdana"/>
                <w:sz w:val="20"/>
                <w:szCs w:val="20"/>
              </w:rPr>
              <w:t>rozwoju.</w:t>
            </w:r>
            <w:r>
              <w:rPr>
                <w:rFonts w:ascii="Verdana" w:hAnsi="Verdana"/>
                <w:sz w:val="20"/>
                <w:szCs w:val="20"/>
              </w:rPr>
              <w:t xml:space="preserve"> Podczas </w:t>
            </w:r>
            <w:r w:rsidRPr="00105C08">
              <w:rPr>
                <w:rFonts w:ascii="Verdana" w:hAnsi="Verdana"/>
                <w:sz w:val="20"/>
                <w:szCs w:val="20"/>
              </w:rPr>
              <w:t>komentowania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fleksji, sk</w:t>
            </w:r>
            <w:r>
              <w:rPr>
                <w:rFonts w:ascii="Verdana" w:hAnsi="Verdana"/>
                <w:sz w:val="20"/>
                <w:szCs w:val="20"/>
              </w:rPr>
              <w:t xml:space="preserve">ładni i słownictwa tłumaczonych tekstów </w:t>
            </w:r>
            <w:r w:rsidRPr="00105C08">
              <w:rPr>
                <w:rFonts w:ascii="Verdana" w:hAnsi="Verdana"/>
                <w:sz w:val="20"/>
                <w:szCs w:val="20"/>
              </w:rPr>
              <w:t>studenci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poznają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ogólne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mechanizmy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rządzące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używaniem języka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 nabywają umiejętności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analizy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zastosowania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wiedzy z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Pr="00105C08">
              <w:rPr>
                <w:rFonts w:ascii="Verdana" w:hAnsi="Verdana"/>
                <w:sz w:val="20"/>
                <w:szCs w:val="20"/>
              </w:rPr>
              <w:t>akresu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językoznawstwa.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Wiodącym celem zajęć jest przygotowanie studentów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do samodzielnej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lektury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oryginalnych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tekstów greckich.</w:t>
            </w:r>
          </w:p>
        </w:tc>
      </w:tr>
      <w:tr w:rsidR="00BE0BC6" w14:paraId="343187EF" w14:textId="77777777" w:rsidTr="00BE7A1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EC0C9" w14:textId="77777777" w:rsidR="00BE0BC6" w:rsidRDefault="00BE0BC6" w:rsidP="00BE0BC6">
            <w:pPr>
              <w:widowControl w:val="0"/>
              <w:numPr>
                <w:ilvl w:val="0"/>
                <w:numId w:val="3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6C479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B5C2D8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A4C3AAA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eastAsia="Times New Roman" w:cs="Times New Roman"/>
                <w:lang w:eastAsia="pl-PL"/>
              </w:rPr>
              <w:t> </w:t>
            </w:r>
          </w:p>
          <w:p w14:paraId="49734753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alfabet, zasady czytania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6842480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akcenty, przydechy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6792B2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rodzajnik określony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ὁ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ἡ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τ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17A2DAC" w14:textId="77777777" w:rsidR="00BE0BC6" w:rsidRPr="005C3C50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C3C5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użycie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μ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ν</w:t>
            </w:r>
            <w:proofErr w:type="spellEnd"/>
            <w:r w:rsidRPr="005C3C50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...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δ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proofErr w:type="spellEnd"/>
            <w:r w:rsidRPr="005C3C50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...</w:t>
            </w:r>
            <w:r w:rsidRPr="005C3C50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736EE88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indicativus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imperativus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activi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koniugacji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I (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consonantia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contracta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4169C973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ἐ</w:t>
            </w:r>
            <w:r w:rsidRPr="00817D5C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φελκυστικ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126205CA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przeczenie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ὐ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ο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ὐ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κ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ο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ὐ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χ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/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μ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ή</w:t>
            </w:r>
            <w:r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5584D506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 i przymiotniki deklinacji II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3ED1B53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przyimki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πρ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ἐ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κ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ἐ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ε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ἰ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ς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ὑ</w:t>
            </w:r>
            <w:r w:rsidRPr="00817D5C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π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μετ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ά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ἐ</w:t>
            </w:r>
            <w:r w:rsidRPr="00817D5C">
              <w:rPr>
                <w:rFonts w:ascii="Verdana" w:eastAsia="Times New Roman" w:hAnsi="Verdana" w:cs="Verdana"/>
                <w:bCs/>
                <w:i/>
                <w:iCs/>
                <w:sz w:val="20"/>
                <w:lang w:eastAsia="pl-PL"/>
              </w:rPr>
              <w:t>π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ί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ἀ</w:t>
            </w:r>
            <w:r w:rsidRPr="00817D5C">
              <w:rPr>
                <w:rFonts w:ascii="Verdana" w:eastAsia="Times New Roman" w:hAnsi="Verdana" w:cs="Verdana"/>
                <w:bCs/>
                <w:i/>
                <w:iCs/>
                <w:sz w:val="20"/>
                <w:lang w:eastAsia="pl-PL"/>
              </w:rPr>
              <w:t>π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περ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ί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A3E1852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infinitivus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activi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koniugacji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I (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consonantia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contracta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na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5B37BB1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indicativus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infinitivus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imperativus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praesentis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czasownika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ε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ἰ</w:t>
            </w:r>
            <w:r w:rsidRPr="00817D5C">
              <w:rPr>
                <w:rFonts w:ascii="Verdana" w:eastAsia="Times New Roman" w:hAnsi="Verdana" w:cs="Verdana"/>
                <w:bCs/>
                <w:i/>
                <w:iCs/>
                <w:sz w:val="20"/>
                <w:lang w:eastAsia="pl-PL"/>
              </w:rPr>
              <w:t>μ</w:t>
            </w:r>
            <w:r w:rsidRPr="00817D5C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ί</w:t>
            </w:r>
            <w:proofErr w:type="spellEnd"/>
            <w:r w:rsidRPr="00817D5C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0411F94B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 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α</w:t>
            </w:r>
            <w:r w:rsidRPr="00817D5C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ὐ</w:t>
            </w:r>
            <w:r w:rsidRPr="00817D5C">
              <w:rPr>
                <w:rFonts w:ascii="Verdana" w:eastAsia="Times New Roman" w:hAnsi="Verdana" w:cs="Verdana"/>
                <w:bCs/>
                <w:sz w:val="20"/>
                <w:lang w:val="el-GR" w:eastAsia="pl-PL"/>
              </w:rPr>
              <w:t>τ</w:t>
            </w:r>
            <w:r w:rsidRPr="00817D5C">
              <w:rPr>
                <w:rFonts w:ascii="Arial" w:eastAsia="Times New Roman" w:hAnsi="Arial" w:cs="Arial"/>
                <w:bCs/>
                <w:sz w:val="20"/>
                <w:lang w:val="el-GR" w:eastAsia="pl-PL"/>
              </w:rPr>
              <w:t>ό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ς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w przypadkach zależnych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09556BD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tworzenie przysłówków na -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ως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C2D55BF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szyk przydawki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23F45FF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Calibri" w:eastAsia="Times New Roman" w:hAnsi="Calibri" w:cs="Times New Roman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słownictwo z lekcji 1-3 podręcznika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Athenaze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(ok. 200 słów)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06D17A9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62BAC" w14:paraId="699A19F8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8B7FC" w14:textId="77777777" w:rsidR="00862BAC" w:rsidRDefault="00862BAC" w:rsidP="00862BAC">
            <w:pPr>
              <w:widowControl w:val="0"/>
              <w:numPr>
                <w:ilvl w:val="0"/>
                <w:numId w:val="3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AF5C1" w14:textId="77777777" w:rsidR="00862BAC" w:rsidRDefault="00862BAC" w:rsidP="00862BAC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D22E380" w14:textId="77777777" w:rsidR="00862BAC" w:rsidRDefault="00862BAC" w:rsidP="00862BAC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7E7F09" w14:textId="77777777" w:rsidR="00862BAC" w:rsidRDefault="00862BAC" w:rsidP="00862BAC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55DC7ECB" w14:textId="07A0B549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świadomość miejsca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języka greckiego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wśród innych języków i konieczności doskonalenia sprawności językowej w języku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greckim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06F91BC6" w14:textId="77777777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DAB2F3B" w14:textId="25C6F9E9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zna w stopniu elementarnym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ogóln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mechanizm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y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rządząc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używaniem języka greckiego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; zna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podstawowe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4B3FBC08" w14:textId="77777777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71D5153" w14:textId="6541C284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elementarną wiedzę o systemach fonologicznym, gramatycznym i leksykalnym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greckiego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o ich historycznej zmienności.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Potrafi dokonać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elementarnego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zestawienia struktur i zjawisk języka polskiego oraz 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greckiego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 także ma podstawową wiedzę o przechodzeniu od struktur jednego języka do struktur drugiego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;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AC5D5DC" w14:textId="77777777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2AA4AAA" w14:textId="27AF9E6C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ukuje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selekcjo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nuje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analiz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uje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oceni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a i użytkuje wiedzę z zakresu podstaw gramatyki języka greckiego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9FF2B69" w14:textId="77777777" w:rsidR="00862BAC" w:rsidRPr="00817D5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D3111D7" w14:textId="74B7B1E0" w:rsidR="00862BAC" w:rsidRDefault="00862BAC" w:rsidP="00862BAC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umiejętności językowe w zakresie języka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greckiego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zgodne z obiektywnie określonymi wymaganiami (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odniesieniem jest poziom analogiczny do A1.I 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0E8655E0" w14:textId="77777777" w:rsidR="00862BAC" w:rsidRDefault="00862BAC" w:rsidP="00862BAC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5FD2465E" w14:textId="52993416" w:rsidR="00862BA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DCE44" w14:textId="77777777" w:rsidR="00862BAC" w:rsidRDefault="00862BAC" w:rsidP="00862BAC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760ECF61" w14:textId="77777777" w:rsidR="00862BAC" w:rsidRDefault="00862BAC" w:rsidP="00862BAC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36C3C9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1D01C020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73457C0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174F91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F546051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2FFD9D2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4C541153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029744B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15F4499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ED79C3E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5091B743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1305CC9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97A65A9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379AC6DB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9724818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044B382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46A7668E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31E2C51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797173C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2A6343B9" w14:textId="77777777" w:rsidR="00862BAC" w:rsidRDefault="00862BAC" w:rsidP="00862BA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67D8D15" w14:textId="5A70154B" w:rsidR="00862BAC" w:rsidRDefault="00862BAC" w:rsidP="00862BAC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E0BC6" w14:paraId="4CA911C7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339E6" w14:textId="77777777" w:rsidR="00BE0BC6" w:rsidRDefault="00BE0BC6" w:rsidP="00BE0BC6">
            <w:pPr>
              <w:widowControl w:val="0"/>
              <w:numPr>
                <w:ilvl w:val="0"/>
                <w:numId w:val="3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12198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4EE2936B" w14:textId="77777777" w:rsidR="00BE0BC6" w:rsidRPr="00BE0BC6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M.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Balme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G.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Lawall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L.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Miraglia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T.F.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Bórii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Athenaze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. </w:t>
            </w:r>
            <w:proofErr w:type="spellStart"/>
            <w:r w:rsidRPr="00BE0BC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Introduzione</w:t>
            </w:r>
            <w:proofErr w:type="spellEnd"/>
            <w:r w:rsidRPr="00BE0BC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 al Greco antico.  </w:t>
            </w:r>
            <w:r w:rsidRPr="00BE0BC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Volume I, Vivarium Novum 2009.</w:t>
            </w:r>
            <w:r w:rsidRPr="00BE0BC6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653E497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Consoli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MELETEMATA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vol. 1,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Vivarium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 Novum, MMVIII.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195FD2E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Auerbach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Golias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Gramatyka grecka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1985.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21E8D1A" w14:textId="63C60C2E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Z. Abramowiczówna,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Słownik grecko-polski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t. I-1V, Warszawa 1958-1965</w:t>
            </w:r>
            <w:r w:rsidR="0054748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.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917EB8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202122"/>
                <w:sz w:val="20"/>
                <w:lang w:eastAsia="pl-PL"/>
              </w:rPr>
              <w:t>Gramatyka współczesnego języka polskiego</w:t>
            </w:r>
            <w:r w:rsidRPr="00817D5C">
              <w:rPr>
                <w:rFonts w:ascii="Verdana" w:eastAsia="Times New Roman" w:hAnsi="Verdana" w:cs="Times New Roman"/>
                <w:bCs/>
                <w:color w:val="202122"/>
                <w:sz w:val="20"/>
                <w:lang w:eastAsia="pl-PL"/>
              </w:rPr>
              <w:t>, red. R. Grzegorczykowa, R. Laskowski, H. Wróbel, Wydawnictwo Naukowe PWN, Warszawa 1998.</w:t>
            </w:r>
            <w:r w:rsidRPr="00817D5C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t> </w:t>
            </w:r>
          </w:p>
          <w:p w14:paraId="65B4302D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L. Drabik, E. Sobol,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Słownik języka polskiego PWN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2020.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3C639DD5" w14:textId="77777777" w:rsidTr="00BE7A1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BDA8F" w14:textId="77777777" w:rsidR="00BE0BC6" w:rsidRDefault="00BE0BC6" w:rsidP="00BE0BC6">
            <w:pPr>
              <w:widowControl w:val="0"/>
              <w:numPr>
                <w:ilvl w:val="0"/>
                <w:numId w:val="3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C5C92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0997FE7F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0AFD1F" w14:textId="24798904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aktywność na zajęciach</w:t>
            </w:r>
            <w:r w:rsidR="0065252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K_W07, K_W08, K_K01</w:t>
            </w:r>
            <w:r w:rsidR="0054748A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,</w:t>
            </w:r>
          </w:p>
          <w:p w14:paraId="6B9D48F7" w14:textId="0225AC5B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="0065252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K_U11</w:t>
            </w:r>
            <w:r w:rsidR="0054748A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,</w:t>
            </w:r>
          </w:p>
          <w:p w14:paraId="0C0524DB" w14:textId="434F3282" w:rsidR="00BE0BC6" w:rsidRDefault="00BE0BC6" w:rsidP="00A64611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tłumaczenie pisemne</w:t>
            </w:r>
            <w:r w:rsidR="0065252A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K_W05, K_W08, 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K_U01, K_U11</w:t>
            </w:r>
            <w:r w:rsidR="0054748A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BE0BC6" w14:paraId="27E4E547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AB7AA" w14:textId="77777777" w:rsidR="00BE0BC6" w:rsidRDefault="00BE0BC6" w:rsidP="00BE0BC6">
            <w:pPr>
              <w:widowControl w:val="0"/>
              <w:numPr>
                <w:ilvl w:val="0"/>
                <w:numId w:val="3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4D2F2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52D4DC1" w14:textId="77777777" w:rsidR="00BE0BC6" w:rsidRDefault="00BE0BC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</w:pPr>
          </w:p>
          <w:p w14:paraId="260CB5AA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Średnia ważona z następujących komponentów: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50A1F859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ciągła kontrola obecności i aktywności na zajęciach - waga 5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0C15402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 7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3C0BD39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praca pisemna (tłumaczenie tekstu na j. polski) 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waga 2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4280E25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  <w:p w14:paraId="1FB38480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Skala ocen: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4EEDAEC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bdb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4,8-5,0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1A5160F6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4,5-4,7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F016CF2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4,0-4,4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4BD66DE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3,5-3,9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61201C27" w14:textId="77777777" w:rsidR="00BE0BC6" w:rsidRPr="00105C08" w:rsidRDefault="00BE0BC6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3,0-3,4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BE0BC6" w14:paraId="3EA7854F" w14:textId="77777777" w:rsidTr="00BE7A1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C97DB" w14:textId="77777777" w:rsidR="00BE0BC6" w:rsidRDefault="00BE0BC6" w:rsidP="00BE0BC6">
            <w:pPr>
              <w:widowControl w:val="0"/>
              <w:numPr>
                <w:ilvl w:val="0"/>
                <w:numId w:val="3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A75D7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E0BC6" w14:paraId="0429871D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1F720" w14:textId="77777777" w:rsidR="00BE0BC6" w:rsidRDefault="00BE0BC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4EC8" w14:textId="77777777" w:rsidR="00BE0BC6" w:rsidRDefault="00BE0BC6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5256D" w14:textId="77777777" w:rsidR="00BE0BC6" w:rsidRDefault="00BE0BC6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E0BC6" w14:paraId="2ED36651" w14:textId="77777777" w:rsidTr="00BE7A1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12612" w14:textId="77777777" w:rsidR="00BE0BC6" w:rsidRDefault="00BE0BC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E65C5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1E2F941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ćwiczenia*: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0FF6A" w14:textId="77777777" w:rsidR="00BE0BC6" w:rsidRPr="00105C08" w:rsidRDefault="00BE0BC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BE0BC6" w14:paraId="2B26F74C" w14:textId="77777777" w:rsidTr="00BE7A1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8FEF9" w14:textId="77777777" w:rsidR="00BE0BC6" w:rsidRDefault="00BE0BC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A9696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7DFC358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E55F26B" w14:textId="77777777" w:rsidR="00BE0BC6" w:rsidRPr="00817D5C" w:rsidRDefault="00BE0BC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prac: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241B87C" w14:textId="77777777" w:rsidR="00BE0BC6" w:rsidRDefault="00BE0BC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sprawdzianów: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FCF6" w14:textId="77777777" w:rsidR="00BE0BC6" w:rsidRDefault="00CD72C2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4617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0DD699C0" w14:textId="77777777" w:rsidR="004617E7" w:rsidRDefault="004617E7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2E4F16B5" w14:textId="15952CFA" w:rsidR="004617E7" w:rsidRPr="00105C08" w:rsidRDefault="004617E7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0BC6" w14:paraId="61C36AA3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9EB6A" w14:textId="77777777" w:rsidR="00BE0BC6" w:rsidRDefault="00BE0BC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8FBF3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68D32" w14:textId="118E1749" w:rsidR="00BE0BC6" w:rsidRDefault="00532DBE" w:rsidP="00CD72C2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BE0BC6" w14:paraId="55B75705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EE741" w14:textId="77777777" w:rsidR="00BE0BC6" w:rsidRDefault="00BE0BC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A72A5" w14:textId="77777777" w:rsidR="00BE0BC6" w:rsidRDefault="00BE0BC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CE91B" w14:textId="4F52399E" w:rsidR="00BE0BC6" w:rsidRDefault="00CD72C2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532DB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6C7DBE49" w14:textId="77777777" w:rsidR="00BE0BC6" w:rsidRDefault="00BE0BC6" w:rsidP="00BE0BC6"/>
    <w:p w14:paraId="2EF9DE85" w14:textId="77777777" w:rsidR="00BE0BC6" w:rsidRDefault="00BE0BC6" w:rsidP="00BE0BC6"/>
    <w:p w14:paraId="42DA72A7" w14:textId="77777777" w:rsidR="00BE0BC6" w:rsidRDefault="0020468B" w:rsidP="0020468B">
      <w:pPr>
        <w:spacing w:line="240" w:lineRule="auto"/>
        <w:ind w:left="5798" w:right="-238"/>
        <w:textAlignment w:val="baseline"/>
        <w:rPr>
          <w:rFonts w:ascii="Verdana" w:eastAsia="Times New Roman" w:hAnsi="Verdana" w:cs="Segoe UI"/>
          <w:sz w:val="16"/>
          <w:lang w:eastAsia="pl-PL"/>
        </w:rPr>
      </w:pPr>
      <w:r w:rsidRPr="00817D5C">
        <w:rPr>
          <w:rFonts w:ascii="Verdana" w:eastAsia="Times New Roman" w:hAnsi="Verdana" w:cs="Segoe UI"/>
          <w:sz w:val="16"/>
          <w:lang w:eastAsia="pl-PL"/>
        </w:rPr>
        <w:t>           </w:t>
      </w:r>
    </w:p>
    <w:p w14:paraId="516D3E71" w14:textId="77777777" w:rsidR="00247C69" w:rsidRPr="00BE0BC6" w:rsidRDefault="00247C69">
      <w:pPr>
        <w:rPr>
          <w:rFonts w:ascii="Verdana" w:eastAsia="Times New Roman" w:hAnsi="Verdana" w:cs="Segoe UI"/>
          <w:sz w:val="16"/>
          <w:lang w:eastAsia="pl-PL"/>
        </w:rPr>
      </w:pPr>
    </w:p>
    <w:sectPr w:rsidR="00247C69" w:rsidRPr="00BE0BC6" w:rsidSect="002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4A9"/>
    <w:multiLevelType w:val="multilevel"/>
    <w:tmpl w:val="927290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1A5C"/>
    <w:multiLevelType w:val="multilevel"/>
    <w:tmpl w:val="D35640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561D8"/>
    <w:multiLevelType w:val="multilevel"/>
    <w:tmpl w:val="D9867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A7DD6"/>
    <w:multiLevelType w:val="multilevel"/>
    <w:tmpl w:val="A8D0A8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90A61"/>
    <w:multiLevelType w:val="multilevel"/>
    <w:tmpl w:val="4D9C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919C2"/>
    <w:multiLevelType w:val="multilevel"/>
    <w:tmpl w:val="B58EC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55DFD"/>
    <w:multiLevelType w:val="multilevel"/>
    <w:tmpl w:val="EBD29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5D7B"/>
    <w:multiLevelType w:val="multilevel"/>
    <w:tmpl w:val="289082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05472"/>
    <w:multiLevelType w:val="multilevel"/>
    <w:tmpl w:val="DDA6EB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56B1B"/>
    <w:multiLevelType w:val="multilevel"/>
    <w:tmpl w:val="6352C6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D1719"/>
    <w:multiLevelType w:val="multilevel"/>
    <w:tmpl w:val="7F00B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86B89"/>
    <w:multiLevelType w:val="multilevel"/>
    <w:tmpl w:val="5B1826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B5660"/>
    <w:multiLevelType w:val="multilevel"/>
    <w:tmpl w:val="E50ECE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419CB"/>
    <w:multiLevelType w:val="multilevel"/>
    <w:tmpl w:val="8960C1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818D4"/>
    <w:multiLevelType w:val="multilevel"/>
    <w:tmpl w:val="513036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33DD0"/>
    <w:multiLevelType w:val="multilevel"/>
    <w:tmpl w:val="1C30BA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8419F"/>
    <w:multiLevelType w:val="multilevel"/>
    <w:tmpl w:val="64EC1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46FF6"/>
    <w:multiLevelType w:val="multilevel"/>
    <w:tmpl w:val="1E4C9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142EC"/>
    <w:multiLevelType w:val="multilevel"/>
    <w:tmpl w:val="4FA276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10"/>
  </w:num>
  <w:num w:numId="5">
    <w:abstractNumId w:val="30"/>
  </w:num>
  <w:num w:numId="6">
    <w:abstractNumId w:val="17"/>
  </w:num>
  <w:num w:numId="7">
    <w:abstractNumId w:val="37"/>
  </w:num>
  <w:num w:numId="8">
    <w:abstractNumId w:val="22"/>
  </w:num>
  <w:num w:numId="9">
    <w:abstractNumId w:val="11"/>
  </w:num>
  <w:num w:numId="10">
    <w:abstractNumId w:val="2"/>
  </w:num>
  <w:num w:numId="11">
    <w:abstractNumId w:val="19"/>
  </w:num>
  <w:num w:numId="12">
    <w:abstractNumId w:val="24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25"/>
  </w:num>
  <w:num w:numId="18">
    <w:abstractNumId w:val="5"/>
  </w:num>
  <w:num w:numId="19">
    <w:abstractNumId w:val="26"/>
  </w:num>
  <w:num w:numId="20">
    <w:abstractNumId w:val="20"/>
  </w:num>
  <w:num w:numId="21">
    <w:abstractNumId w:val="23"/>
  </w:num>
  <w:num w:numId="22">
    <w:abstractNumId w:val="18"/>
  </w:num>
  <w:num w:numId="23">
    <w:abstractNumId w:val="14"/>
  </w:num>
  <w:num w:numId="24">
    <w:abstractNumId w:val="31"/>
  </w:num>
  <w:num w:numId="25">
    <w:abstractNumId w:val="3"/>
  </w:num>
  <w:num w:numId="26">
    <w:abstractNumId w:val="36"/>
  </w:num>
  <w:num w:numId="27">
    <w:abstractNumId w:val="21"/>
  </w:num>
  <w:num w:numId="28">
    <w:abstractNumId w:val="35"/>
  </w:num>
  <w:num w:numId="29">
    <w:abstractNumId w:val="8"/>
  </w:num>
  <w:num w:numId="30">
    <w:abstractNumId w:val="32"/>
  </w:num>
  <w:num w:numId="31">
    <w:abstractNumId w:val="33"/>
  </w:num>
  <w:num w:numId="32">
    <w:abstractNumId w:val="29"/>
  </w:num>
  <w:num w:numId="33">
    <w:abstractNumId w:val="34"/>
  </w:num>
  <w:num w:numId="34">
    <w:abstractNumId w:val="12"/>
  </w:num>
  <w:num w:numId="35">
    <w:abstractNumId w:val="27"/>
  </w:num>
  <w:num w:numId="36">
    <w:abstractNumId w:val="9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8B"/>
    <w:rsid w:val="00052930"/>
    <w:rsid w:val="0020468B"/>
    <w:rsid w:val="00235D32"/>
    <w:rsid w:val="00247C69"/>
    <w:rsid w:val="004617E7"/>
    <w:rsid w:val="00495409"/>
    <w:rsid w:val="004E14E0"/>
    <w:rsid w:val="00532DBE"/>
    <w:rsid w:val="0054748A"/>
    <w:rsid w:val="005C3C50"/>
    <w:rsid w:val="0065252A"/>
    <w:rsid w:val="006D3A7E"/>
    <w:rsid w:val="00736E17"/>
    <w:rsid w:val="007D3963"/>
    <w:rsid w:val="00817D5C"/>
    <w:rsid w:val="00862BAC"/>
    <w:rsid w:val="00A64611"/>
    <w:rsid w:val="00BE0BC6"/>
    <w:rsid w:val="00C32095"/>
    <w:rsid w:val="00C82A19"/>
    <w:rsid w:val="00CD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6E8C"/>
  <w15:docId w15:val="{0649397D-AD67-470B-9E12-6AA2E67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04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0468B"/>
  </w:style>
  <w:style w:type="character" w:customStyle="1" w:styleId="eop">
    <w:name w:val="eop"/>
    <w:basedOn w:val="Domylnaczcionkaakapitu"/>
    <w:rsid w:val="0020468B"/>
  </w:style>
  <w:style w:type="character" w:customStyle="1" w:styleId="spellingerror">
    <w:name w:val="spellingerror"/>
    <w:basedOn w:val="Domylnaczcionkaakapitu"/>
    <w:rsid w:val="002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84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Mariusz Plago</cp:lastModifiedBy>
  <cp:revision>11</cp:revision>
  <dcterms:created xsi:type="dcterms:W3CDTF">2021-11-03T12:31:00Z</dcterms:created>
  <dcterms:modified xsi:type="dcterms:W3CDTF">2022-03-13T17:09:00Z</dcterms:modified>
</cp:coreProperties>
</file>